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DD7ED" w14:textId="332697B2" w:rsidR="00D806BA" w:rsidRDefault="00D806BA" w:rsidP="00FB40DE">
      <w:pPr>
        <w:jc w:val="center"/>
        <w:rPr>
          <w:b/>
          <w:bCs/>
          <w:sz w:val="52"/>
          <w:szCs w:val="52"/>
          <w:u w:val="single"/>
        </w:rPr>
      </w:pPr>
      <w:r w:rsidRPr="00D806BA">
        <w:rPr>
          <w:noProof/>
          <w:sz w:val="52"/>
          <w:szCs w:val="52"/>
        </w:rPr>
        <w:drawing>
          <wp:inline distT="0" distB="0" distL="0" distR="0" wp14:anchorId="6A964FD1" wp14:editId="5F9C55B7">
            <wp:extent cx="914400" cy="587842"/>
            <wp:effectExtent l="0" t="0" r="0" b="3175"/>
            <wp:docPr id="15248733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73375" name="Immagine 15248733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69" cy="5924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1C668" w14:textId="47C6B300" w:rsidR="00DC2D51" w:rsidRPr="00D77CDD" w:rsidRDefault="00FB40DE" w:rsidP="00FB40DE">
      <w:pPr>
        <w:jc w:val="center"/>
        <w:rPr>
          <w:b/>
          <w:bCs/>
          <w:sz w:val="52"/>
          <w:szCs w:val="52"/>
          <w:u w:val="single"/>
        </w:rPr>
      </w:pPr>
      <w:r w:rsidRPr="00D77CDD">
        <w:rPr>
          <w:b/>
          <w:bCs/>
          <w:sz w:val="52"/>
          <w:szCs w:val="52"/>
          <w:u w:val="single"/>
        </w:rPr>
        <w:t>IL TRAVERSANTE MIRAFIORI</w:t>
      </w:r>
    </w:p>
    <w:p w14:paraId="2827C267" w14:textId="77777777" w:rsidR="003A5099" w:rsidRDefault="003A5099" w:rsidP="00FB40DE">
      <w:pPr>
        <w:spacing w:after="0"/>
        <w:jc w:val="both"/>
        <w:rPr>
          <w:rFonts w:cs="Arial"/>
          <w:sz w:val="24"/>
          <w:szCs w:val="24"/>
          <w:u w:val="single"/>
        </w:rPr>
      </w:pPr>
    </w:p>
    <w:p w14:paraId="4F7A51E7" w14:textId="2DFB98F5" w:rsidR="00FB40DE" w:rsidRPr="004D6092" w:rsidRDefault="00FB40DE" w:rsidP="00FB40DE">
      <w:pPr>
        <w:spacing w:after="0"/>
        <w:jc w:val="both"/>
        <w:rPr>
          <w:rFonts w:cs="Arial"/>
          <w:b/>
          <w:bCs/>
          <w:sz w:val="24"/>
          <w:szCs w:val="24"/>
          <w:u w:val="single"/>
        </w:rPr>
      </w:pPr>
      <w:r w:rsidRPr="004D6092">
        <w:rPr>
          <w:rFonts w:cs="Arial"/>
          <w:b/>
          <w:bCs/>
          <w:sz w:val="24"/>
          <w:szCs w:val="24"/>
          <w:u w:val="single"/>
        </w:rPr>
        <w:t xml:space="preserve">SINTESI STORICA </w:t>
      </w:r>
    </w:p>
    <w:p w14:paraId="22A4DEC4" w14:textId="77777777" w:rsidR="00FB40DE" w:rsidRPr="009128D4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9128D4">
        <w:rPr>
          <w:sz w:val="24"/>
          <w:szCs w:val="24"/>
        </w:rPr>
        <w:t>Il Traversante Mirafiori è un’opera idraulica costruita nella seconda metà dell’Ottocento nei pressi di Mirafiori di Rivergaro</w:t>
      </w:r>
      <w:r>
        <w:rPr>
          <w:sz w:val="24"/>
          <w:szCs w:val="24"/>
        </w:rPr>
        <w:t xml:space="preserve"> (PC)</w:t>
      </w:r>
      <w:r w:rsidRPr="009128D4">
        <w:rPr>
          <w:sz w:val="24"/>
          <w:szCs w:val="24"/>
        </w:rPr>
        <w:t xml:space="preserve"> secondo il progetto </w:t>
      </w:r>
      <w:proofErr w:type="spellStart"/>
      <w:r w:rsidRPr="009128D4">
        <w:rPr>
          <w:sz w:val="24"/>
          <w:szCs w:val="24"/>
        </w:rPr>
        <w:t>dell’Ing</w:t>
      </w:r>
      <w:proofErr w:type="spellEnd"/>
      <w:r w:rsidRPr="009128D4">
        <w:rPr>
          <w:sz w:val="24"/>
          <w:szCs w:val="24"/>
        </w:rPr>
        <w:t xml:space="preserve">. Cesare Valerio di Torino (1820-1873) indicato da Camillo Cavour, per derivare le acque di subalveo ad incremento delle portate superficiali già raccolte nelle prese a S. Agata (Rivergaro), a Ca’ Buschi e a La Caminata (Gossolengo e Gazzola), che alimentano la </w:t>
      </w:r>
      <w:r>
        <w:rPr>
          <w:sz w:val="24"/>
          <w:szCs w:val="24"/>
        </w:rPr>
        <w:t>c</w:t>
      </w:r>
      <w:r w:rsidRPr="009128D4">
        <w:rPr>
          <w:sz w:val="24"/>
          <w:szCs w:val="24"/>
        </w:rPr>
        <w:t>ondotta piacentina delle acque di destra e sinistra Trebbia.</w:t>
      </w:r>
    </w:p>
    <w:p w14:paraId="2A02C27F" w14:textId="77777777" w:rsidR="00FB40DE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9128D4">
        <w:rPr>
          <w:sz w:val="24"/>
          <w:szCs w:val="24"/>
        </w:rPr>
        <w:t xml:space="preserve">Dal punto di vista costruttivo, il Traversante è costituito da una galleria drenante appoggiata ad un muro affiorante che costituisce lo sbarramento della </w:t>
      </w:r>
      <w:r>
        <w:rPr>
          <w:sz w:val="24"/>
          <w:szCs w:val="24"/>
        </w:rPr>
        <w:t>t</w:t>
      </w:r>
      <w:r w:rsidRPr="009128D4">
        <w:rPr>
          <w:sz w:val="24"/>
          <w:szCs w:val="24"/>
        </w:rPr>
        <w:t xml:space="preserve">raversa. L’opera è realizzata </w:t>
      </w:r>
      <w:r>
        <w:rPr>
          <w:sz w:val="24"/>
          <w:szCs w:val="24"/>
        </w:rPr>
        <w:t>in modo trasversale</w:t>
      </w:r>
      <w:r w:rsidRPr="009128D4">
        <w:rPr>
          <w:sz w:val="24"/>
          <w:szCs w:val="24"/>
        </w:rPr>
        <w:t xml:space="preserve"> al corso del Trebbia. Come conseguenza dei regimi di piena del torrente, la galleria drenante ha subito rilevanti danni e il crollo della parte centrale della struttura nel 2009.</w:t>
      </w:r>
    </w:p>
    <w:p w14:paraId="41D923DF" w14:textId="77777777" w:rsidR="003A5099" w:rsidRDefault="003A5099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14:paraId="0645DBEA" w14:textId="77777777" w:rsidR="00FB40DE" w:rsidRPr="004D6092" w:rsidRDefault="00FB40DE" w:rsidP="00FB40DE">
      <w:pPr>
        <w:spacing w:after="0"/>
        <w:rPr>
          <w:rFonts w:cs="Arial"/>
          <w:b/>
          <w:bCs/>
          <w:sz w:val="24"/>
          <w:szCs w:val="24"/>
          <w:u w:val="single"/>
        </w:rPr>
      </w:pPr>
      <w:r w:rsidRPr="004D6092">
        <w:rPr>
          <w:rFonts w:cs="Arial"/>
          <w:b/>
          <w:bCs/>
          <w:sz w:val="24"/>
          <w:szCs w:val="24"/>
          <w:u w:val="single"/>
        </w:rPr>
        <w:t>IL FUNZIONAMENTO DEL TRAVERSANTE</w:t>
      </w:r>
    </w:p>
    <w:p w14:paraId="4875B3E7" w14:textId="77777777" w:rsidR="003A5099" w:rsidRDefault="003A5099" w:rsidP="003A5099">
      <w:pPr>
        <w:jc w:val="both"/>
      </w:pPr>
      <w:r w:rsidRPr="000C6725">
        <w:t>Il sistema di captazione delle acque del torrente Trebbia si sviluppa lungo il corso del fiume</w:t>
      </w:r>
      <w:r>
        <w:t xml:space="preserve">. </w:t>
      </w:r>
      <w:r w:rsidRPr="00EC52F3">
        <w:t xml:space="preserve">Procedendo </w:t>
      </w:r>
      <w:r>
        <w:t xml:space="preserve">da monte </w:t>
      </w:r>
      <w:r w:rsidRPr="00EC52F3">
        <w:t>verso valle, si incontrano innanzitutto dieci cunicoli drenanti, ciascuno lungo circa 50 metri e con sezione di 2,5 metri sia in altezza sia in larghezza. Tali cunicoli, posti al di sotto del livello dell’acqua e disposti obliquamente rispetto all’asse del torrente, sono progettati per favorire un’efficace captazione delle acque del Trebbia.</w:t>
      </w:r>
    </w:p>
    <w:p w14:paraId="66838DE4" w14:textId="77777777" w:rsidR="003A5099" w:rsidRDefault="003A5099" w:rsidP="003A5099">
      <w:pPr>
        <w:jc w:val="both"/>
      </w:pPr>
      <w:r>
        <w:t>C</w:t>
      </w:r>
      <w:r w:rsidRPr="00EC52F3">
        <w:t>iascun cunicolo termina in corrispondenza dell’innesto con il Traversante mediante una paratoia, ossia una chiusura mobile regolabile e azionabile da remoto. L’apertura della paratoia consente di convogliare l’acqua captata all’interno del Traversante.</w:t>
      </w:r>
    </w:p>
    <w:p w14:paraId="5FE75006" w14:textId="77777777" w:rsidR="003A5099" w:rsidRDefault="003A5099" w:rsidP="003A5099">
      <w:pPr>
        <w:jc w:val="both"/>
      </w:pPr>
      <w:r w:rsidRPr="00EC52F3">
        <w:t>Il Traversante, disposto perpendicolarmente all’asse dell’alveo, è una galleria</w:t>
      </w:r>
      <w:r>
        <w:t xml:space="preserve"> sotterranea</w:t>
      </w:r>
      <w:r w:rsidRPr="00EC52F3">
        <w:t xml:space="preserve"> realizzata in malta e matton</w:t>
      </w:r>
      <w:r>
        <w:t>i</w:t>
      </w:r>
      <w:r w:rsidRPr="00EC52F3">
        <w:t xml:space="preserve">, lunga 261 metri e con </w:t>
      </w:r>
      <w:r>
        <w:t xml:space="preserve">sezione circolare di </w:t>
      </w:r>
      <w:r w:rsidRPr="00EC52F3">
        <w:t>diametro interno di 2 metri; essa termina con un sistema di paratoie collocate alle estremità destra e sinistra</w:t>
      </w:r>
      <w:r>
        <w:t>:</w:t>
      </w:r>
    </w:p>
    <w:p w14:paraId="47F5DB1C" w14:textId="77777777" w:rsidR="003A5099" w:rsidRDefault="003A5099" w:rsidP="003A5099">
      <w:pPr>
        <w:pStyle w:val="Paragrafoelenco"/>
        <w:numPr>
          <w:ilvl w:val="0"/>
          <w:numId w:val="1"/>
        </w:numPr>
        <w:jc w:val="both"/>
      </w:pPr>
      <w:r>
        <w:t>dalla paratoia di sinistra parte una condotta di adduzione in calcestruzzo con diametro iniziale di 1,6 metri che si riduce a 1,2 metri, la quale convoglia le acque nel rio Comune di Sinistra nei pressi del castello di Rivalta (comune di Gazzola) in favore della campagna in sinistra Trebbia.</w:t>
      </w:r>
    </w:p>
    <w:p w14:paraId="3DE38E59" w14:textId="77777777" w:rsidR="003A5099" w:rsidRPr="00467C1C" w:rsidRDefault="003A5099" w:rsidP="003A5099">
      <w:pPr>
        <w:pStyle w:val="Paragrafoelenco"/>
        <w:numPr>
          <w:ilvl w:val="0"/>
          <w:numId w:val="1"/>
        </w:numPr>
        <w:jc w:val="both"/>
      </w:pPr>
      <w:r>
        <w:t>Dalle due paratoie di destra parte una galleria in mattoni rimasta invariata rispetto alla sua prima realizzazione di fine ‘800, che convoglia le acque nel rio Comune di Destra appena a valle di Ca Buschi (comune di Rivergaro) in favore della campagna in destra Trebbia.</w:t>
      </w:r>
    </w:p>
    <w:p w14:paraId="5DD8C99E" w14:textId="77777777" w:rsidR="003A5099" w:rsidRPr="000A3B6A" w:rsidRDefault="003A5099" w:rsidP="003A5099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Complessivamente, i</w:t>
      </w:r>
      <w:r w:rsidRPr="000A3B6A">
        <w:rPr>
          <w:rFonts w:cs="Arial"/>
          <w:sz w:val="24"/>
          <w:szCs w:val="24"/>
        </w:rPr>
        <w:t>l distretto irriguo del Trebbia ha una estensione complessiva di circa 23 mila ettari. La superficie irrigata è di circa 11,8 mila ettari di cui circa il 40% coltivato a mais, il 30% a pomodoro, il 12% a erba medica e il resto a orticole, prato ecc.</w:t>
      </w:r>
    </w:p>
    <w:p w14:paraId="60BB91B5" w14:textId="77777777" w:rsidR="003A5099" w:rsidRPr="000A3B6A" w:rsidRDefault="003A5099" w:rsidP="003A5099">
      <w:pPr>
        <w:spacing w:after="0"/>
        <w:jc w:val="both"/>
        <w:rPr>
          <w:sz w:val="24"/>
          <w:szCs w:val="24"/>
        </w:rPr>
      </w:pPr>
      <w:r w:rsidRPr="000A3B6A">
        <w:rPr>
          <w:rFonts w:cs="Arial"/>
          <w:sz w:val="24"/>
          <w:szCs w:val="24"/>
        </w:rPr>
        <w:t>Il Consorzio di Bonifica di Piacenza, per svolgere la propria funzione irrigua,</w:t>
      </w:r>
      <w:r>
        <w:rPr>
          <w:rFonts w:cs="Arial"/>
          <w:sz w:val="24"/>
          <w:szCs w:val="24"/>
        </w:rPr>
        <w:t xml:space="preserve"> </w:t>
      </w:r>
      <w:r w:rsidRPr="000A3B6A">
        <w:rPr>
          <w:rFonts w:cs="Arial"/>
          <w:sz w:val="24"/>
          <w:szCs w:val="24"/>
        </w:rPr>
        <w:t>utilizza le acque superficiali del Trebbia distribuendola in tre sotto-distretti telecontrollati</w:t>
      </w:r>
      <w:r>
        <w:rPr>
          <w:rFonts w:cs="Arial"/>
          <w:sz w:val="24"/>
          <w:szCs w:val="24"/>
        </w:rPr>
        <w:t xml:space="preserve"> (uno in sinistra e due in destra Trebbia)</w:t>
      </w:r>
      <w:r w:rsidRPr="000A3B6A">
        <w:rPr>
          <w:rFonts w:cs="Arial"/>
          <w:sz w:val="24"/>
          <w:szCs w:val="24"/>
        </w:rPr>
        <w:t>.</w:t>
      </w:r>
    </w:p>
    <w:p w14:paraId="099C33A3" w14:textId="77777777" w:rsidR="003A5099" w:rsidRPr="00FB40DE" w:rsidRDefault="003A5099" w:rsidP="00FB40DE">
      <w:pPr>
        <w:spacing w:after="0"/>
        <w:rPr>
          <w:rFonts w:cs="Arial"/>
          <w:sz w:val="24"/>
          <w:szCs w:val="24"/>
          <w:u w:val="single"/>
        </w:rPr>
      </w:pPr>
    </w:p>
    <w:p w14:paraId="724FA4DE" w14:textId="59A82909" w:rsidR="00D77CDD" w:rsidRPr="00FB40DE" w:rsidRDefault="00D77CDD" w:rsidP="00FB40DE">
      <w:pPr>
        <w:spacing w:after="0"/>
        <w:jc w:val="both"/>
        <w:rPr>
          <w:sz w:val="24"/>
          <w:szCs w:val="24"/>
        </w:rPr>
      </w:pPr>
      <w:r w:rsidRPr="00D77CDD">
        <w:rPr>
          <w:noProof/>
          <w:sz w:val="24"/>
          <w:szCs w:val="24"/>
        </w:rPr>
        <w:lastRenderedPageBreak/>
        <w:drawing>
          <wp:inline distT="0" distB="0" distL="0" distR="0" wp14:anchorId="233B2FDD" wp14:editId="0C062F93">
            <wp:extent cx="5663380" cy="5224436"/>
            <wp:effectExtent l="0" t="0" r="0" b="0"/>
            <wp:docPr id="14927836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836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746" cy="523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2F5E" w14:textId="77777777" w:rsidR="00FB40DE" w:rsidRPr="00FB40DE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14:paraId="1086DC60" w14:textId="77777777" w:rsidR="004D6092" w:rsidRDefault="004D6092" w:rsidP="00FB40DE">
      <w:pPr>
        <w:spacing w:after="0"/>
        <w:rPr>
          <w:rFonts w:cs="Arial"/>
          <w:b/>
          <w:bCs/>
          <w:sz w:val="24"/>
          <w:szCs w:val="24"/>
          <w:u w:val="single"/>
        </w:rPr>
      </w:pPr>
    </w:p>
    <w:p w14:paraId="2491C9DA" w14:textId="53EEF055" w:rsidR="00FB40DE" w:rsidRPr="004D6092" w:rsidRDefault="00FB40DE" w:rsidP="00FB40DE">
      <w:pPr>
        <w:spacing w:after="0"/>
        <w:rPr>
          <w:rFonts w:cs="Arial"/>
          <w:b/>
          <w:bCs/>
          <w:sz w:val="24"/>
          <w:szCs w:val="24"/>
          <w:u w:val="single"/>
        </w:rPr>
      </w:pPr>
      <w:r w:rsidRPr="004D6092">
        <w:rPr>
          <w:rFonts w:cs="Arial"/>
          <w:b/>
          <w:bCs/>
          <w:sz w:val="24"/>
          <w:szCs w:val="24"/>
          <w:u w:val="single"/>
        </w:rPr>
        <w:t>LA SINTESI DEGLI INTERVENTI</w:t>
      </w:r>
    </w:p>
    <w:p w14:paraId="07F967B9" w14:textId="77777777" w:rsidR="00FB40DE" w:rsidRPr="00FB40DE" w:rsidRDefault="00FB40DE" w:rsidP="00FB40DE">
      <w:pPr>
        <w:spacing w:after="0"/>
        <w:jc w:val="both"/>
        <w:rPr>
          <w:rFonts w:cstheme="minorHAnsi"/>
          <w:sz w:val="24"/>
          <w:szCs w:val="24"/>
        </w:rPr>
      </w:pPr>
      <w:r w:rsidRPr="00FB40DE">
        <w:rPr>
          <w:rFonts w:cstheme="minorHAnsi"/>
          <w:sz w:val="24"/>
          <w:szCs w:val="24"/>
        </w:rPr>
        <w:t>Gli interventi portati a termine - a circa 160 anni dalla prima realizzazione - comprendono: la demolizione e la ricostruzione della porzione di struttura gravemente danneggiata dalla piena del 2009; il recupero conservativo parziale della porzione esistente; la realizzazione di 10 nuovi cunicoli drenanti lunghi 50 metri ciascuno; la realizzazione di una nuova condotta lunga 220 metri e di manufatti di imbocco, deviazione e restituzione per la derivazione delle acque in sponda sinistra, la costruzione di una difesa spondale in sponda sinistra lunga 60 metri e alta 4 metri in gabbioni metallici e opere di rinaturalizzazione spondale.</w:t>
      </w:r>
    </w:p>
    <w:p w14:paraId="0A24980F" w14:textId="77777777" w:rsidR="003A5099" w:rsidRDefault="003A5099" w:rsidP="00FB40DE">
      <w:pPr>
        <w:spacing w:after="0"/>
        <w:jc w:val="both"/>
        <w:rPr>
          <w:rFonts w:cstheme="minorHAnsi"/>
          <w:sz w:val="24"/>
          <w:szCs w:val="24"/>
          <w:highlight w:val="yellow"/>
        </w:rPr>
      </w:pPr>
    </w:p>
    <w:p w14:paraId="2921F5BF" w14:textId="77777777" w:rsidR="004D6092" w:rsidRDefault="004D6092" w:rsidP="00FB40DE">
      <w:pPr>
        <w:spacing w:after="0"/>
        <w:jc w:val="both"/>
        <w:rPr>
          <w:rFonts w:cstheme="minorHAnsi"/>
          <w:sz w:val="24"/>
          <w:szCs w:val="24"/>
          <w:highlight w:val="yellow"/>
        </w:rPr>
      </w:pPr>
    </w:p>
    <w:p w14:paraId="392BEA88" w14:textId="77777777" w:rsidR="00FB40DE" w:rsidRPr="004D6092" w:rsidRDefault="00FB40DE" w:rsidP="00FB40DE">
      <w:pPr>
        <w:spacing w:after="0"/>
        <w:jc w:val="both"/>
        <w:rPr>
          <w:b/>
          <w:bCs/>
          <w:sz w:val="24"/>
          <w:szCs w:val="24"/>
          <w:u w:val="single"/>
        </w:rPr>
      </w:pPr>
      <w:r w:rsidRPr="004D6092">
        <w:rPr>
          <w:b/>
          <w:bCs/>
          <w:sz w:val="24"/>
          <w:szCs w:val="24"/>
          <w:u w:val="single"/>
        </w:rPr>
        <w:t>I BENEFICI DELL’OPERA</w:t>
      </w:r>
    </w:p>
    <w:p w14:paraId="64D141F7" w14:textId="77777777" w:rsidR="00FB40DE" w:rsidRDefault="00FB40DE" w:rsidP="00FB40DE">
      <w:pPr>
        <w:spacing w:after="0"/>
        <w:jc w:val="both"/>
        <w:rPr>
          <w:rFonts w:cstheme="minorHAnsi"/>
          <w:sz w:val="24"/>
          <w:szCs w:val="24"/>
        </w:rPr>
      </w:pPr>
      <w:r w:rsidRPr="009128D4">
        <w:rPr>
          <w:rFonts w:cstheme="minorHAnsi"/>
          <w:sz w:val="24"/>
          <w:szCs w:val="24"/>
        </w:rPr>
        <w:t xml:space="preserve">Il Traversante Mirafiori </w:t>
      </w:r>
      <w:r>
        <w:rPr>
          <w:rFonts w:cstheme="minorHAnsi"/>
          <w:sz w:val="24"/>
          <w:szCs w:val="24"/>
        </w:rPr>
        <w:t>è</w:t>
      </w:r>
      <w:r w:rsidRPr="009128D4">
        <w:rPr>
          <w:rFonts w:cstheme="minorHAnsi"/>
          <w:sz w:val="24"/>
          <w:szCs w:val="24"/>
        </w:rPr>
        <w:t xml:space="preserve"> totalmente mascherato sotto il fondo dell’alveo</w:t>
      </w:r>
      <w:r>
        <w:rPr>
          <w:rFonts w:cstheme="minorHAnsi"/>
          <w:sz w:val="24"/>
          <w:szCs w:val="24"/>
        </w:rPr>
        <w:t xml:space="preserve"> e non comporta impatti sul territorio. Un</w:t>
      </w:r>
      <w:r w:rsidRPr="009128D4">
        <w:rPr>
          <w:rFonts w:cstheme="minorHAnsi"/>
          <w:sz w:val="24"/>
          <w:szCs w:val="24"/>
        </w:rPr>
        <w:t xml:space="preserve">’opera </w:t>
      </w:r>
      <w:r>
        <w:rPr>
          <w:rFonts w:cstheme="minorHAnsi"/>
          <w:sz w:val="24"/>
          <w:szCs w:val="24"/>
        </w:rPr>
        <w:t>di cui</w:t>
      </w:r>
      <w:r w:rsidRPr="009128D4">
        <w:rPr>
          <w:rFonts w:cstheme="minorHAnsi"/>
          <w:sz w:val="24"/>
          <w:szCs w:val="24"/>
        </w:rPr>
        <w:t xml:space="preserve"> benefi</w:t>
      </w:r>
      <w:r>
        <w:rPr>
          <w:rFonts w:cstheme="minorHAnsi"/>
          <w:sz w:val="24"/>
          <w:szCs w:val="24"/>
        </w:rPr>
        <w:t>cia</w:t>
      </w:r>
      <w:r w:rsidRPr="009128D4">
        <w:rPr>
          <w:rFonts w:cstheme="minorHAnsi"/>
          <w:sz w:val="24"/>
          <w:szCs w:val="24"/>
        </w:rPr>
        <w:t xml:space="preserve"> il territorio</w:t>
      </w:r>
      <w:r>
        <w:rPr>
          <w:rFonts w:cstheme="minorHAnsi"/>
          <w:sz w:val="24"/>
          <w:szCs w:val="24"/>
        </w:rPr>
        <w:t>,</w:t>
      </w:r>
      <w:r w:rsidRPr="009128D4">
        <w:rPr>
          <w:rFonts w:cstheme="minorHAnsi"/>
          <w:sz w:val="24"/>
          <w:szCs w:val="24"/>
        </w:rPr>
        <w:t xml:space="preserve"> il settore agroalimentare</w:t>
      </w:r>
      <w:r>
        <w:rPr>
          <w:rFonts w:cstheme="minorHAnsi"/>
          <w:sz w:val="24"/>
          <w:szCs w:val="24"/>
        </w:rPr>
        <w:t xml:space="preserve"> e l’ambiente fluviale, visti</w:t>
      </w:r>
    </w:p>
    <w:p w14:paraId="159C732F" w14:textId="1599CCE8" w:rsidR="003A5099" w:rsidRDefault="00FB40DE" w:rsidP="00FB40DE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</w:t>
      </w:r>
      <w:r w:rsidRPr="009128D4">
        <w:rPr>
          <w:rFonts w:cstheme="minorHAnsi"/>
          <w:sz w:val="24"/>
          <w:szCs w:val="24"/>
        </w:rPr>
        <w:t xml:space="preserve"> prelievo irriguo flessibile e modulabile</w:t>
      </w:r>
      <w:r>
        <w:rPr>
          <w:rFonts w:cstheme="minorHAnsi"/>
          <w:sz w:val="24"/>
          <w:szCs w:val="24"/>
        </w:rPr>
        <w:t xml:space="preserve">, la </w:t>
      </w:r>
      <w:r w:rsidRPr="009128D4">
        <w:rPr>
          <w:rFonts w:cstheme="minorHAnsi"/>
          <w:sz w:val="24"/>
          <w:szCs w:val="24"/>
        </w:rPr>
        <w:t>misurazione puntuale del DMV</w:t>
      </w:r>
      <w:r>
        <w:rPr>
          <w:rFonts w:cstheme="minorHAnsi"/>
          <w:sz w:val="24"/>
          <w:szCs w:val="24"/>
        </w:rPr>
        <w:t xml:space="preserve"> e il</w:t>
      </w:r>
      <w:r w:rsidRPr="009128D4">
        <w:rPr>
          <w:rFonts w:cstheme="minorHAnsi"/>
          <w:sz w:val="24"/>
          <w:szCs w:val="24"/>
        </w:rPr>
        <w:t xml:space="preserve"> superamento dell’attività di movimentazione della ghiaia </w:t>
      </w:r>
      <w:r>
        <w:rPr>
          <w:rFonts w:cstheme="minorHAnsi"/>
          <w:sz w:val="24"/>
          <w:szCs w:val="24"/>
        </w:rPr>
        <w:t xml:space="preserve">nel Parco </w:t>
      </w:r>
      <w:r w:rsidRPr="004B158D">
        <w:rPr>
          <w:rFonts w:cstheme="minorHAnsi"/>
          <w:sz w:val="24"/>
          <w:szCs w:val="24"/>
        </w:rPr>
        <w:t>Regionale Fluviale del Trebbia</w:t>
      </w:r>
      <w:r>
        <w:rPr>
          <w:rFonts w:cstheme="minorHAnsi"/>
          <w:sz w:val="24"/>
          <w:szCs w:val="24"/>
        </w:rPr>
        <w:t>.</w:t>
      </w:r>
      <w:r w:rsidRPr="009128D4">
        <w:rPr>
          <w:rFonts w:cstheme="minorHAnsi"/>
          <w:sz w:val="24"/>
          <w:szCs w:val="24"/>
        </w:rPr>
        <w:t xml:space="preserve"> Questo a testimonianza ancora una volta di come sia possibile far coesistere azioni di tutela ambientale e attività che basano il loro ciclo produttivo sull’utilizzo di risorse natural</w:t>
      </w:r>
      <w:r w:rsidR="003A5099">
        <w:rPr>
          <w:rFonts w:cstheme="minorHAnsi"/>
          <w:sz w:val="24"/>
          <w:szCs w:val="24"/>
        </w:rPr>
        <w:t>i.</w:t>
      </w:r>
    </w:p>
    <w:p w14:paraId="76F0C92A" w14:textId="77777777" w:rsidR="004D6092" w:rsidRPr="003A5099" w:rsidRDefault="004D6092" w:rsidP="00FB40DE">
      <w:pPr>
        <w:spacing w:after="0"/>
        <w:jc w:val="both"/>
        <w:rPr>
          <w:rFonts w:cstheme="minorHAnsi"/>
          <w:sz w:val="24"/>
          <w:szCs w:val="24"/>
          <w:highlight w:val="yellow"/>
        </w:rPr>
      </w:pPr>
    </w:p>
    <w:p w14:paraId="4FCBDC52" w14:textId="77777777" w:rsidR="004D6092" w:rsidRDefault="004D6092" w:rsidP="00FB40DE">
      <w:pPr>
        <w:spacing w:after="0"/>
        <w:jc w:val="both"/>
        <w:rPr>
          <w:b/>
          <w:bCs/>
          <w:sz w:val="24"/>
          <w:szCs w:val="24"/>
          <w:u w:val="single"/>
        </w:rPr>
      </w:pPr>
    </w:p>
    <w:p w14:paraId="27441ABE" w14:textId="77777777" w:rsidR="004D6092" w:rsidRDefault="004D6092" w:rsidP="00FB40DE">
      <w:pPr>
        <w:spacing w:after="0"/>
        <w:jc w:val="both"/>
        <w:rPr>
          <w:b/>
          <w:bCs/>
          <w:sz w:val="24"/>
          <w:szCs w:val="24"/>
          <w:u w:val="single"/>
        </w:rPr>
      </w:pPr>
    </w:p>
    <w:p w14:paraId="5104A06C" w14:textId="00F3E27A" w:rsidR="00FB40DE" w:rsidRPr="004D6092" w:rsidRDefault="00FB40DE" w:rsidP="00FB40DE">
      <w:pPr>
        <w:spacing w:after="0"/>
        <w:jc w:val="both"/>
        <w:rPr>
          <w:b/>
          <w:bCs/>
          <w:sz w:val="24"/>
          <w:szCs w:val="24"/>
          <w:u w:val="single"/>
        </w:rPr>
      </w:pPr>
      <w:r w:rsidRPr="004D6092">
        <w:rPr>
          <w:b/>
          <w:bCs/>
          <w:sz w:val="24"/>
          <w:szCs w:val="24"/>
          <w:u w:val="single"/>
        </w:rPr>
        <w:t>IL FINANZIAMENTO</w:t>
      </w:r>
    </w:p>
    <w:p w14:paraId="7025665F" w14:textId="46E3B48E" w:rsidR="00FB40DE" w:rsidRPr="004D6092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FB40DE">
        <w:rPr>
          <w:sz w:val="24"/>
          <w:szCs w:val="24"/>
        </w:rPr>
        <w:t>L'intervento di ristrutturazione del Traversante Mirafiori è stato finanziato con le risorse Next Generation EU.</w:t>
      </w:r>
      <w:r w:rsidR="004D6092">
        <w:rPr>
          <w:sz w:val="24"/>
          <w:szCs w:val="24"/>
        </w:rPr>
        <w:t xml:space="preserve"> </w:t>
      </w:r>
      <w:r w:rsidRPr="004D6092">
        <w:rPr>
          <w:b/>
          <w:bCs/>
          <w:sz w:val="24"/>
          <w:szCs w:val="24"/>
        </w:rPr>
        <w:t>PNRR - PIANO NAZIONALE PER LA RIPRESA E RESILIENZA</w:t>
      </w:r>
    </w:p>
    <w:p w14:paraId="7280CAC4" w14:textId="77777777" w:rsidR="009F254F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4D6092">
        <w:rPr>
          <w:sz w:val="24"/>
          <w:szCs w:val="24"/>
          <w:u w:val="single"/>
        </w:rPr>
        <w:t>Missione 2</w:t>
      </w:r>
      <w:r w:rsidRPr="00FB40DE">
        <w:rPr>
          <w:sz w:val="24"/>
          <w:szCs w:val="24"/>
        </w:rPr>
        <w:t>: Rivoluzione verde e transizione ecologica.</w:t>
      </w:r>
      <w:r w:rsidR="009F254F">
        <w:rPr>
          <w:sz w:val="24"/>
          <w:szCs w:val="24"/>
        </w:rPr>
        <w:t xml:space="preserve"> </w:t>
      </w:r>
    </w:p>
    <w:p w14:paraId="4360B7A3" w14:textId="7ABAFCCA" w:rsidR="00FB40DE" w:rsidRPr="00FB40DE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FB40DE">
        <w:rPr>
          <w:sz w:val="24"/>
          <w:szCs w:val="24"/>
        </w:rPr>
        <w:t>Componente C4: Tutela e valorizzazione del territorio e della risorsa idrica.</w:t>
      </w:r>
    </w:p>
    <w:p w14:paraId="7071C7F8" w14:textId="77777777" w:rsidR="00FB40DE" w:rsidRPr="00FB40DE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FB40DE">
        <w:rPr>
          <w:sz w:val="24"/>
          <w:szCs w:val="24"/>
        </w:rPr>
        <w:t>Misura 4: Garantire la gestione sostenibile delle risorse idriche lungo l’intero ciclo</w:t>
      </w:r>
    </w:p>
    <w:p w14:paraId="58117A8A" w14:textId="77777777" w:rsidR="00FB40DE" w:rsidRPr="00FB40DE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FB40DE">
        <w:rPr>
          <w:sz w:val="24"/>
          <w:szCs w:val="24"/>
        </w:rPr>
        <w:t>e il miglioramento della qualità ambientale delle acque interne e marittime.</w:t>
      </w:r>
    </w:p>
    <w:p w14:paraId="3196ED4E" w14:textId="77777777" w:rsidR="00FB40DE" w:rsidRPr="00FB40DE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4D6092">
        <w:rPr>
          <w:sz w:val="24"/>
          <w:szCs w:val="24"/>
          <w:u w:val="single"/>
        </w:rPr>
        <w:t>Investimento 4.1</w:t>
      </w:r>
      <w:r w:rsidRPr="00FB40DE">
        <w:rPr>
          <w:sz w:val="24"/>
          <w:szCs w:val="24"/>
        </w:rPr>
        <w:t>: Investimenti in infrastrutture idriche primarie per la sicurezza dell'approvvigionamento idrico.</w:t>
      </w:r>
    </w:p>
    <w:p w14:paraId="44F03E2B" w14:textId="77777777" w:rsidR="00FB40DE" w:rsidRPr="00FB40DE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FB40DE">
        <w:rPr>
          <w:sz w:val="24"/>
          <w:szCs w:val="24"/>
        </w:rPr>
        <w:t>Intervento compreso nel decreto del Ministero delle Infrastrutture e della Mobilità Sostenibile (MIMS) n. 0000517 del 16-12-2021, Allegato 3.3 - Intervento in essere compreso nel Piano Straordinario di interventi nel settore idrico previsto dall’art. 1, comma 523, della Legge n. 205/2017, predisposto dal MIT, Ministero Infrastrutture e Trasporti, e identificato nel medesimo Piano con il codice intervento n. 526/3.</w:t>
      </w:r>
    </w:p>
    <w:p w14:paraId="0FE87F30" w14:textId="77777777" w:rsidR="00FB40DE" w:rsidRPr="00FB40DE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4D6092">
        <w:rPr>
          <w:sz w:val="24"/>
          <w:szCs w:val="24"/>
          <w:u w:val="single"/>
        </w:rPr>
        <w:t>Titolo Intervento</w:t>
      </w:r>
      <w:r w:rsidRPr="00FB40DE">
        <w:rPr>
          <w:sz w:val="24"/>
          <w:szCs w:val="24"/>
        </w:rPr>
        <w:t>: Traversante Mirafiori in Comune di Rivergaro e Gazzola (PC). Riorganizzazione funzionale delle derivazioni irrigue nell'aerale Val Trebbia (PC).</w:t>
      </w:r>
    </w:p>
    <w:p w14:paraId="36B12A00" w14:textId="45A51AA4" w:rsidR="009F254F" w:rsidRDefault="00FB40DE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FB40DE">
        <w:rPr>
          <w:sz w:val="24"/>
          <w:szCs w:val="24"/>
        </w:rPr>
        <w:t>CUP: G25J15000000005.</w:t>
      </w:r>
      <w:r w:rsidR="009F254F">
        <w:rPr>
          <w:sz w:val="24"/>
          <w:szCs w:val="24"/>
        </w:rPr>
        <w:t xml:space="preserve">  </w:t>
      </w:r>
      <w:r w:rsidRPr="00FB40DE">
        <w:rPr>
          <w:sz w:val="24"/>
          <w:szCs w:val="24"/>
        </w:rPr>
        <w:t>Costo finanziato: € 8.753.200,00.</w:t>
      </w:r>
    </w:p>
    <w:p w14:paraId="1013509A" w14:textId="3952D6BC" w:rsidR="00041196" w:rsidRDefault="00041196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041196">
        <w:rPr>
          <w:noProof/>
          <w:sz w:val="24"/>
          <w:szCs w:val="24"/>
        </w:rPr>
        <w:drawing>
          <wp:inline distT="0" distB="0" distL="0" distR="0" wp14:anchorId="3A04CACE" wp14:editId="0E027DCA">
            <wp:extent cx="3234813" cy="435985"/>
            <wp:effectExtent l="0" t="0" r="3810" b="2540"/>
            <wp:docPr id="8493489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48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5016" cy="44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06F6B" w14:textId="77777777" w:rsidR="003A5099" w:rsidRDefault="003A5099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14:paraId="575D57B2" w14:textId="77777777" w:rsidR="003A5099" w:rsidRDefault="003A5099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14:paraId="44B297B2" w14:textId="77777777" w:rsidR="003A5099" w:rsidRPr="009128D4" w:rsidRDefault="003A5099" w:rsidP="00FB40DE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14:paraId="2AB31204" w14:textId="2735DB40" w:rsidR="00D77CDD" w:rsidRPr="00D77CDD" w:rsidRDefault="00D77CDD" w:rsidP="00D77CDD">
      <w:r w:rsidRPr="00D77CDD">
        <w:rPr>
          <w:noProof/>
        </w:rPr>
        <w:drawing>
          <wp:inline distT="0" distB="0" distL="0" distR="0" wp14:anchorId="314B240F" wp14:editId="1B4FCDF1">
            <wp:extent cx="5343525" cy="4007923"/>
            <wp:effectExtent l="0" t="0" r="0" b="0"/>
            <wp:docPr id="145923460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84" cy="40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E750" w14:textId="77777777" w:rsidR="00FB40DE" w:rsidRDefault="00FB40DE"/>
    <w:p w14:paraId="4A111D5A" w14:textId="56F68675" w:rsidR="009F254F" w:rsidRDefault="009F254F" w:rsidP="009F254F">
      <w:r w:rsidRPr="009F254F">
        <w:rPr>
          <w:noProof/>
        </w:rPr>
        <w:lastRenderedPageBreak/>
        <w:drawing>
          <wp:inline distT="0" distB="0" distL="0" distR="0" wp14:anchorId="18853A0F" wp14:editId="08D0A327">
            <wp:extent cx="4195389" cy="2359742"/>
            <wp:effectExtent l="0" t="0" r="0" b="2540"/>
            <wp:docPr id="75890546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91" cy="237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DCDB" w14:textId="77777777" w:rsidR="004D6092" w:rsidRPr="009F254F" w:rsidRDefault="004D6092" w:rsidP="009F254F"/>
    <w:p w14:paraId="68D6136D" w14:textId="77777777" w:rsidR="009F254F" w:rsidRDefault="009F254F">
      <w:r>
        <w:rPr>
          <w:noProof/>
        </w:rPr>
        <w:drawing>
          <wp:inline distT="0" distB="0" distL="0" distR="0" wp14:anchorId="2A5FD5E3" wp14:editId="0A0F5230">
            <wp:extent cx="3932903" cy="2951106"/>
            <wp:effectExtent l="0" t="0" r="0" b="1905"/>
            <wp:docPr id="51173690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585" cy="296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69B7" w14:textId="77777777" w:rsidR="004D6092" w:rsidRDefault="004D6092"/>
    <w:p w14:paraId="3904F41B" w14:textId="0E15792B" w:rsidR="009F254F" w:rsidRDefault="009F254F">
      <w:r>
        <w:rPr>
          <w:noProof/>
        </w:rPr>
        <w:drawing>
          <wp:inline distT="0" distB="0" distL="0" distR="0" wp14:anchorId="399D2155" wp14:editId="14BBF76A">
            <wp:extent cx="3525771" cy="2644877"/>
            <wp:effectExtent l="0" t="0" r="0" b="3175"/>
            <wp:docPr id="91944247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24" cy="265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54F" w:rsidSect="004D6092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057F02"/>
    <w:multiLevelType w:val="hybridMultilevel"/>
    <w:tmpl w:val="99B64C2C"/>
    <w:lvl w:ilvl="0" w:tplc="15E098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6018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F44"/>
    <w:rsid w:val="00041196"/>
    <w:rsid w:val="00390B7C"/>
    <w:rsid w:val="003A5099"/>
    <w:rsid w:val="004B32AE"/>
    <w:rsid w:val="004D6092"/>
    <w:rsid w:val="00746F44"/>
    <w:rsid w:val="00960609"/>
    <w:rsid w:val="009F254F"/>
    <w:rsid w:val="00AE6DE8"/>
    <w:rsid w:val="00CA3101"/>
    <w:rsid w:val="00D53670"/>
    <w:rsid w:val="00D77CDD"/>
    <w:rsid w:val="00D806BA"/>
    <w:rsid w:val="00DC2D51"/>
    <w:rsid w:val="00DD6CA3"/>
    <w:rsid w:val="00E87A7D"/>
    <w:rsid w:val="00FB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5F995"/>
  <w15:chartTrackingRefBased/>
  <w15:docId w15:val="{B9F75346-0AE8-44CC-9BC6-2146C76D8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46F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46F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46F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46F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46F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46F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46F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46F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46F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46F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46F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46F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46F44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46F44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46F4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46F4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46F4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46F4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46F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46F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46F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46F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46F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46F4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46F4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46F44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46F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46F44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46F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Gemmati</dc:creator>
  <cp:keywords/>
  <dc:description/>
  <cp:lastModifiedBy>Chiara Gemmati</cp:lastModifiedBy>
  <cp:revision>7</cp:revision>
  <dcterms:created xsi:type="dcterms:W3CDTF">2026-04-30T12:27:00Z</dcterms:created>
  <dcterms:modified xsi:type="dcterms:W3CDTF">2026-06-02T08:58:00Z</dcterms:modified>
</cp:coreProperties>
</file>